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6ABB" w14:textId="1E8300EE" w:rsidR="00C25856" w:rsidRDefault="5755584D" w:rsidP="16186F97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6186F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Gestión integral de la empresa ganadera</w:t>
      </w:r>
    </w:p>
    <w:p w14:paraId="5E3A4CD9" w14:textId="0F4F32B2" w:rsidR="00C25856" w:rsidRDefault="5755584D" w:rsidP="16186F97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6186F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Objetivo: Trabajar herramientas que permitan al productor agropecuario analizar desde el punto de vista económico los principales factores críticos en las producciones ganaderas.  </w:t>
      </w:r>
    </w:p>
    <w:p w14:paraId="5C1A07E2" w14:textId="099544B0" w:rsidR="00C25856" w:rsidRDefault="5755584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6186F97">
        <w:rPr>
          <w:rFonts w:ascii="Calibri" w:eastAsia="Calibri" w:hAnsi="Calibri" w:cs="Calibri"/>
          <w:color w:val="000000" w:themeColor="text1"/>
          <w:sz w:val="22"/>
          <w:szCs w:val="22"/>
        </w:rPr>
        <w:t>Contenidos mínimos: El uso de resultados económicos a nivel de actividad para la toma de decisiones. La eficiencia económica en la alimentación. Los costos ocultos en la pérdida de eficiencia reproductiva.</w:t>
      </w:r>
    </w:p>
    <w:p w14:paraId="2836C0E2" w14:textId="43C74C9B" w:rsidR="00F51180" w:rsidRDefault="00F51180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Programa Analítico</w:t>
      </w:r>
    </w:p>
    <w:p w14:paraId="79177F65" w14:textId="4DBD7E8B" w:rsidR="0044521E" w:rsidRDefault="00F51180" w:rsidP="004E3CA4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Unidad 1: </w:t>
      </w:r>
      <w:r w:rsidR="007F33A1">
        <w:rPr>
          <w:rFonts w:ascii="Calibri" w:eastAsia="Calibri" w:hAnsi="Calibri" w:cs="Calibri"/>
          <w:color w:val="000000" w:themeColor="text1"/>
          <w:sz w:val="22"/>
          <w:szCs w:val="22"/>
        </w:rPr>
        <w:t>Los resultados a nivel de actividad para la toma de decisiones. El margen bruto, el retorno por p</w:t>
      </w:r>
      <w:r w:rsidR="0044521E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7F33A1">
        <w:rPr>
          <w:rFonts w:ascii="Calibri" w:eastAsia="Calibri" w:hAnsi="Calibri" w:cs="Calibri"/>
          <w:color w:val="000000" w:themeColor="text1"/>
          <w:sz w:val="22"/>
          <w:szCs w:val="22"/>
        </w:rPr>
        <w:t>so gastado y el rendimiento de indife</w:t>
      </w:r>
      <w:r w:rsidR="0044521E">
        <w:rPr>
          <w:rFonts w:ascii="Calibri" w:eastAsia="Calibri" w:hAnsi="Calibri" w:cs="Calibri"/>
          <w:color w:val="000000" w:themeColor="text1"/>
          <w:sz w:val="22"/>
          <w:szCs w:val="22"/>
        </w:rPr>
        <w:t>rencia en actividades ganaderas. Cálculo e interpretación</w:t>
      </w:r>
    </w:p>
    <w:p w14:paraId="4B2AF03D" w14:textId="77777777" w:rsidR="00B64158" w:rsidRDefault="0044521E" w:rsidP="004E3CA4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Unidad 2: </w:t>
      </w:r>
      <w:r w:rsidR="00C21E9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La eficiencia económica en la alimentación. El peso de la alimentación en el costo directo de distintas actividades ganaderas. </w:t>
      </w:r>
      <w:r w:rsidR="000E4D1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La incidencia en el costo de las pasturas y verdeos. </w:t>
      </w:r>
      <w:r w:rsidR="00B6415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El beneficio del buen manejo de pasturas. El beneficio de la fertilización y el mantenimiento adecuado. </w:t>
      </w:r>
    </w:p>
    <w:p w14:paraId="6301195A" w14:textId="08B22540" w:rsidR="00F51180" w:rsidRDefault="00B64158" w:rsidP="004E3CA4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Unidad 3: </w:t>
      </w:r>
      <w:r w:rsidR="004452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Los costos ocultos de la pérdida de eficiencia reproductiva. El costo </w:t>
      </w:r>
      <w:r w:rsidR="00E854A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 oportunidad de una preñez perdida. </w:t>
      </w:r>
      <w:r w:rsidR="00CF6AC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Las pérdidas económicas </w:t>
      </w:r>
      <w:r w:rsidR="00F3548F">
        <w:rPr>
          <w:rFonts w:ascii="Calibri" w:eastAsia="Calibri" w:hAnsi="Calibri" w:cs="Calibri"/>
          <w:color w:val="000000" w:themeColor="text1"/>
          <w:sz w:val="22"/>
          <w:szCs w:val="22"/>
        </w:rPr>
        <w:t>por</w:t>
      </w:r>
      <w:r w:rsidR="00E854A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enfermedades reproductivas. Las pérdidas económicas por un mal manejo de destete. </w:t>
      </w:r>
      <w:r w:rsidR="00F3548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El costo de oportunidad por el manejo no recomendado de la vaca vacía o de la </w:t>
      </w:r>
      <w:r w:rsidR="004E3CA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vaquillona de 15 meses. </w:t>
      </w:r>
    </w:p>
    <w:p w14:paraId="110F6794" w14:textId="77777777" w:rsidR="00B13454" w:rsidRDefault="00B13454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DBE7A6A" w14:textId="4C95F897" w:rsidR="008B1AB8" w:rsidRDefault="00B13454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Semana </w:t>
      </w:r>
      <w:r w:rsidR="00236E7D">
        <w:rPr>
          <w:rFonts w:ascii="Calibri" w:eastAsia="Calibri" w:hAnsi="Calibri" w:cs="Calibri"/>
          <w:color w:val="000000" w:themeColor="text1"/>
          <w:sz w:val="22"/>
          <w:szCs w:val="22"/>
        </w:rPr>
        <w:t>30/7</w:t>
      </w:r>
      <w:r w:rsidR="008B1A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al </w:t>
      </w:r>
      <w:r w:rsidR="00247101">
        <w:rPr>
          <w:rFonts w:ascii="Calibri" w:eastAsia="Calibri" w:hAnsi="Calibri" w:cs="Calibri"/>
          <w:color w:val="000000" w:themeColor="text1"/>
          <w:sz w:val="22"/>
          <w:szCs w:val="22"/>
        </w:rPr>
        <w:t>4</w:t>
      </w:r>
      <w:r w:rsidR="008B1AB8">
        <w:rPr>
          <w:rFonts w:ascii="Calibri" w:eastAsia="Calibri" w:hAnsi="Calibri" w:cs="Calibri"/>
          <w:color w:val="000000" w:themeColor="text1"/>
          <w:sz w:val="22"/>
          <w:szCs w:val="22"/>
        </w:rPr>
        <w:t>/</w:t>
      </w:r>
      <w:r w:rsidR="00247101">
        <w:rPr>
          <w:rFonts w:ascii="Calibri" w:eastAsia="Calibri" w:hAnsi="Calibri" w:cs="Calibri"/>
          <w:color w:val="000000" w:themeColor="text1"/>
          <w:sz w:val="22"/>
          <w:szCs w:val="22"/>
        </w:rPr>
        <w:t>8</w:t>
      </w:r>
      <w:r w:rsidR="008B1AB8">
        <w:rPr>
          <w:rFonts w:ascii="Calibri" w:eastAsia="Calibri" w:hAnsi="Calibri" w:cs="Calibri"/>
          <w:color w:val="000000" w:themeColor="text1"/>
          <w:sz w:val="22"/>
          <w:szCs w:val="22"/>
        </w:rPr>
        <w:t>: Material de lectura</w:t>
      </w:r>
    </w:p>
    <w:p w14:paraId="6F7BECFF" w14:textId="544B745B" w:rsidR="00741B41" w:rsidRDefault="008B1AB8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Semana </w:t>
      </w:r>
      <w:r w:rsidR="00247101">
        <w:rPr>
          <w:rFonts w:ascii="Calibri" w:eastAsia="Calibri" w:hAnsi="Calibri" w:cs="Calibri"/>
          <w:color w:val="000000" w:themeColor="text1"/>
          <w:sz w:val="22"/>
          <w:szCs w:val="22"/>
        </w:rPr>
        <w:t>7</w:t>
      </w:r>
      <w:r w:rsidR="00FB5AF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al </w:t>
      </w:r>
      <w:r w:rsidR="00247101">
        <w:rPr>
          <w:rFonts w:ascii="Calibri" w:eastAsia="Calibri" w:hAnsi="Calibri" w:cs="Calibri"/>
          <w:color w:val="000000" w:themeColor="text1"/>
          <w:sz w:val="22"/>
          <w:szCs w:val="22"/>
        </w:rPr>
        <w:t>11</w:t>
      </w:r>
      <w:r w:rsidR="00FB5AFB">
        <w:rPr>
          <w:rFonts w:ascii="Calibri" w:eastAsia="Calibri" w:hAnsi="Calibri" w:cs="Calibri"/>
          <w:color w:val="000000" w:themeColor="text1"/>
          <w:sz w:val="22"/>
          <w:szCs w:val="22"/>
        </w:rPr>
        <w:t>/</w:t>
      </w:r>
      <w:r w:rsidR="00247101">
        <w:rPr>
          <w:rFonts w:ascii="Calibri" w:eastAsia="Calibri" w:hAnsi="Calibri" w:cs="Calibri"/>
          <w:color w:val="000000" w:themeColor="text1"/>
          <w:sz w:val="22"/>
          <w:szCs w:val="22"/>
        </w:rPr>
        <w:t>8</w:t>
      </w:r>
      <w:r w:rsidR="00741B41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  <w:r w:rsidR="00FB5AF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sincrónico</w:t>
      </w:r>
    </w:p>
    <w:p w14:paraId="4008C6AE" w14:textId="4E6D19E5" w:rsidR="00B13454" w:rsidRDefault="00741B41"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Semana 14 al 18/8: </w:t>
      </w:r>
      <w:r w:rsidR="00226170">
        <w:rPr>
          <w:rFonts w:ascii="Calibri" w:eastAsia="Calibri" w:hAnsi="Calibri" w:cs="Calibri"/>
          <w:color w:val="000000" w:themeColor="text1"/>
          <w:sz w:val="22"/>
          <w:szCs w:val="22"/>
        </w:rPr>
        <w:t>Evaluación</w:t>
      </w:r>
      <w:r w:rsidR="00AC596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8B1AB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sectPr w:rsidR="00B1345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83F66"/>
    <w:multiLevelType w:val="hybridMultilevel"/>
    <w:tmpl w:val="3AECD14C"/>
    <w:lvl w:ilvl="0" w:tplc="D9FE7D5E">
      <w:start w:val="1"/>
      <w:numFmt w:val="decimal"/>
      <w:lvlText w:val="%1."/>
      <w:lvlJc w:val="left"/>
      <w:pPr>
        <w:ind w:left="720" w:hanging="360"/>
      </w:pPr>
    </w:lvl>
    <w:lvl w:ilvl="1" w:tplc="0F44FAB4">
      <w:start w:val="1"/>
      <w:numFmt w:val="lowerLetter"/>
      <w:lvlText w:val="%2."/>
      <w:lvlJc w:val="left"/>
      <w:pPr>
        <w:ind w:left="1440" w:hanging="360"/>
      </w:pPr>
    </w:lvl>
    <w:lvl w:ilvl="2" w:tplc="7116E080">
      <w:start w:val="1"/>
      <w:numFmt w:val="lowerRoman"/>
      <w:lvlText w:val="%3."/>
      <w:lvlJc w:val="right"/>
      <w:pPr>
        <w:ind w:left="2160" w:hanging="180"/>
      </w:pPr>
    </w:lvl>
    <w:lvl w:ilvl="3" w:tplc="0AC6CA12">
      <w:start w:val="1"/>
      <w:numFmt w:val="decimal"/>
      <w:lvlText w:val="%4."/>
      <w:lvlJc w:val="left"/>
      <w:pPr>
        <w:ind w:left="2880" w:hanging="360"/>
      </w:pPr>
    </w:lvl>
    <w:lvl w:ilvl="4" w:tplc="BF6C1046">
      <w:start w:val="1"/>
      <w:numFmt w:val="lowerLetter"/>
      <w:lvlText w:val="%5."/>
      <w:lvlJc w:val="left"/>
      <w:pPr>
        <w:ind w:left="3600" w:hanging="360"/>
      </w:pPr>
    </w:lvl>
    <w:lvl w:ilvl="5" w:tplc="CBC26940">
      <w:start w:val="1"/>
      <w:numFmt w:val="lowerRoman"/>
      <w:lvlText w:val="%6."/>
      <w:lvlJc w:val="right"/>
      <w:pPr>
        <w:ind w:left="4320" w:hanging="180"/>
      </w:pPr>
    </w:lvl>
    <w:lvl w:ilvl="6" w:tplc="15F23B22">
      <w:start w:val="1"/>
      <w:numFmt w:val="decimal"/>
      <w:lvlText w:val="%7."/>
      <w:lvlJc w:val="left"/>
      <w:pPr>
        <w:ind w:left="5040" w:hanging="360"/>
      </w:pPr>
    </w:lvl>
    <w:lvl w:ilvl="7" w:tplc="010441BE">
      <w:start w:val="1"/>
      <w:numFmt w:val="lowerLetter"/>
      <w:lvlText w:val="%8."/>
      <w:lvlJc w:val="left"/>
      <w:pPr>
        <w:ind w:left="5760" w:hanging="360"/>
      </w:pPr>
    </w:lvl>
    <w:lvl w:ilvl="8" w:tplc="A0CAFFE4">
      <w:start w:val="1"/>
      <w:numFmt w:val="lowerRoman"/>
      <w:lvlText w:val="%9."/>
      <w:lvlJc w:val="right"/>
      <w:pPr>
        <w:ind w:left="6480" w:hanging="180"/>
      </w:pPr>
    </w:lvl>
  </w:abstractNum>
  <w:num w:numId="1" w16cid:durableId="68571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9B66B4"/>
    <w:rsid w:val="000E4D14"/>
    <w:rsid w:val="00205666"/>
    <w:rsid w:val="00226170"/>
    <w:rsid w:val="00236E7D"/>
    <w:rsid w:val="00247101"/>
    <w:rsid w:val="002972A9"/>
    <w:rsid w:val="0044521E"/>
    <w:rsid w:val="004E3CA4"/>
    <w:rsid w:val="005C0B58"/>
    <w:rsid w:val="0066648A"/>
    <w:rsid w:val="00741B41"/>
    <w:rsid w:val="007C2F94"/>
    <w:rsid w:val="007F33A1"/>
    <w:rsid w:val="008B1AB8"/>
    <w:rsid w:val="009F5A57"/>
    <w:rsid w:val="00A306CF"/>
    <w:rsid w:val="00A40DB9"/>
    <w:rsid w:val="00A82C20"/>
    <w:rsid w:val="00AC596F"/>
    <w:rsid w:val="00B13454"/>
    <w:rsid w:val="00B32C93"/>
    <w:rsid w:val="00B64158"/>
    <w:rsid w:val="00C21E99"/>
    <w:rsid w:val="00C25856"/>
    <w:rsid w:val="00CF6AC4"/>
    <w:rsid w:val="00E7441C"/>
    <w:rsid w:val="00E854AA"/>
    <w:rsid w:val="00F3548F"/>
    <w:rsid w:val="00F51180"/>
    <w:rsid w:val="00FB5AFB"/>
    <w:rsid w:val="0D653DD8"/>
    <w:rsid w:val="16186F97"/>
    <w:rsid w:val="1D962737"/>
    <w:rsid w:val="486E6D32"/>
    <w:rsid w:val="4BC49F5C"/>
    <w:rsid w:val="5755584D"/>
    <w:rsid w:val="63C43D9A"/>
    <w:rsid w:val="699B66B4"/>
    <w:rsid w:val="7AB60443"/>
    <w:rsid w:val="7B86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66B4"/>
  <w15:chartTrackingRefBased/>
  <w15:docId w15:val="{E4C9E4D5-2C4E-4714-9E6C-9D8EFB2E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6186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Alberto Grasa</dc:creator>
  <cp:keywords/>
  <dc:description/>
  <cp:lastModifiedBy>cecilia benasayag</cp:lastModifiedBy>
  <cp:revision>4</cp:revision>
  <dcterms:created xsi:type="dcterms:W3CDTF">2025-06-30T18:29:00Z</dcterms:created>
  <dcterms:modified xsi:type="dcterms:W3CDTF">2025-06-30T19:16:00Z</dcterms:modified>
</cp:coreProperties>
</file>